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E4" w:rsidRDefault="009452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452E4" w:rsidRDefault="009452E4">
      <w:pPr>
        <w:pStyle w:val="ConsPlusNormal"/>
        <w:jc w:val="both"/>
        <w:outlineLvl w:val="0"/>
      </w:pPr>
    </w:p>
    <w:p w:rsidR="009452E4" w:rsidRDefault="009452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452E4" w:rsidRDefault="009452E4">
      <w:pPr>
        <w:pStyle w:val="ConsPlusTitle"/>
        <w:jc w:val="center"/>
      </w:pPr>
    </w:p>
    <w:p w:rsidR="009452E4" w:rsidRDefault="009452E4">
      <w:pPr>
        <w:pStyle w:val="ConsPlusTitle"/>
        <w:jc w:val="center"/>
      </w:pPr>
      <w:r>
        <w:t>ПОСТАНОВЛЕНИЕ</w:t>
      </w:r>
    </w:p>
    <w:p w:rsidR="009452E4" w:rsidRDefault="009452E4">
      <w:pPr>
        <w:pStyle w:val="ConsPlusTitle"/>
        <w:jc w:val="center"/>
      </w:pPr>
      <w:r>
        <w:t>от 30 июня 2021 г. N 1061</w:t>
      </w:r>
    </w:p>
    <w:p w:rsidR="009452E4" w:rsidRDefault="009452E4">
      <w:pPr>
        <w:pStyle w:val="ConsPlusTitle"/>
        <w:jc w:val="center"/>
      </w:pPr>
    </w:p>
    <w:p w:rsidR="009452E4" w:rsidRDefault="009452E4">
      <w:pPr>
        <w:pStyle w:val="ConsPlusTitle"/>
        <w:jc w:val="center"/>
      </w:pPr>
      <w:r>
        <w:t>ОБ УТВЕРЖДЕНИИ ПОЛОЖЕНИЯ</w:t>
      </w:r>
    </w:p>
    <w:p w:rsidR="009452E4" w:rsidRDefault="009452E4">
      <w:pPr>
        <w:pStyle w:val="ConsPlusTitle"/>
        <w:jc w:val="center"/>
      </w:pPr>
      <w:r>
        <w:t>О ФЕДЕРАЛЬНОМ ГОСУДАРСТВЕННОМ КОНТРОЛЕ (НАДЗОРЕ)</w:t>
      </w:r>
    </w:p>
    <w:p w:rsidR="009452E4" w:rsidRDefault="009452E4">
      <w:pPr>
        <w:pStyle w:val="ConsPlusTitle"/>
        <w:jc w:val="center"/>
      </w:pPr>
      <w:r>
        <w:t>ЗА СОБЛЮДЕНИЕМ ЗАКОНОДАТЕЛЬСТВА ОБ АРХИВНОМ ДЕЛЕ</w:t>
      </w:r>
    </w:p>
    <w:p w:rsidR="009452E4" w:rsidRDefault="00945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2E4" w:rsidRDefault="00945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2E4" w:rsidRDefault="00945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2E4" w:rsidRDefault="00945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52E4" w:rsidRDefault="00945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26.11.2021 N 2061)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2E4" w:rsidRDefault="009452E4">
            <w:pPr>
              <w:pStyle w:val="ConsPlusNormal"/>
            </w:pPr>
          </w:p>
        </w:tc>
      </w:tr>
    </w:tbl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16</w:t>
        </w:r>
      </w:hyperlink>
      <w:r>
        <w:t xml:space="preserve"> Федерального закона "Об архивном деле в Российской Федерации" и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соблюдением законодательства об архивном деле.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2021 г.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right"/>
      </w:pPr>
      <w:r>
        <w:t>Председатель Правительства</w:t>
      </w:r>
    </w:p>
    <w:p w:rsidR="009452E4" w:rsidRDefault="009452E4">
      <w:pPr>
        <w:pStyle w:val="ConsPlusNormal"/>
        <w:jc w:val="right"/>
      </w:pPr>
      <w:r>
        <w:t>Российской Федерации</w:t>
      </w:r>
    </w:p>
    <w:p w:rsidR="009452E4" w:rsidRDefault="009452E4">
      <w:pPr>
        <w:pStyle w:val="ConsPlusNormal"/>
        <w:jc w:val="right"/>
      </w:pPr>
      <w:r>
        <w:t>М.МИШУСТИН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right"/>
        <w:outlineLvl w:val="0"/>
      </w:pPr>
      <w:r>
        <w:t>Утверждено</w:t>
      </w:r>
    </w:p>
    <w:p w:rsidR="009452E4" w:rsidRDefault="009452E4">
      <w:pPr>
        <w:pStyle w:val="ConsPlusNormal"/>
        <w:jc w:val="right"/>
      </w:pPr>
      <w:r>
        <w:t>постановлением Правительства</w:t>
      </w:r>
    </w:p>
    <w:p w:rsidR="009452E4" w:rsidRDefault="009452E4">
      <w:pPr>
        <w:pStyle w:val="ConsPlusNormal"/>
        <w:jc w:val="right"/>
      </w:pPr>
      <w:r>
        <w:t>Российской Федерации</w:t>
      </w:r>
    </w:p>
    <w:p w:rsidR="009452E4" w:rsidRDefault="009452E4">
      <w:pPr>
        <w:pStyle w:val="ConsPlusNormal"/>
        <w:jc w:val="right"/>
      </w:pPr>
      <w:r>
        <w:t>от 30 июня 2021 г. N 1061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</w:pPr>
      <w:bookmarkStart w:id="0" w:name="P29"/>
      <w:bookmarkEnd w:id="0"/>
      <w:r>
        <w:t>ПОЛОЖЕНИЕ</w:t>
      </w:r>
    </w:p>
    <w:p w:rsidR="009452E4" w:rsidRDefault="009452E4">
      <w:pPr>
        <w:pStyle w:val="ConsPlusTitle"/>
        <w:jc w:val="center"/>
      </w:pPr>
      <w:r>
        <w:t>О ФЕДЕРАЛЬНОМ ГОСУДАРСТВЕННОМ КОНТРОЛЕ (НАДЗОРЕ)</w:t>
      </w:r>
    </w:p>
    <w:p w:rsidR="009452E4" w:rsidRDefault="009452E4">
      <w:pPr>
        <w:pStyle w:val="ConsPlusTitle"/>
        <w:jc w:val="center"/>
      </w:pPr>
      <w:r>
        <w:t>ЗА СОБЛЮДЕНИЕМ ЗАКОНОДАТЕЛЬСТВА ОБ АРХИВНОМ ДЕЛЕ</w:t>
      </w:r>
    </w:p>
    <w:p w:rsidR="009452E4" w:rsidRDefault="009452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52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2E4" w:rsidRDefault="009452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2E4" w:rsidRDefault="009452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2E4" w:rsidRDefault="009452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52E4" w:rsidRDefault="009452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26.11.2021 N 2061)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2E4" w:rsidRDefault="009452E4">
            <w:pPr>
              <w:pStyle w:val="ConsPlusNormal"/>
            </w:pPr>
          </w:p>
        </w:tc>
      </w:tr>
    </w:tbl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  <w:outlineLvl w:val="1"/>
      </w:pPr>
      <w:r>
        <w:t>I. Общие положения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контроля (надзора) за соблюдением законодательства об архивном деле (далее - контроль).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Предметом контроля является соблюдение архивами, музеями, библиотеками и научными организациями, включенными в </w:t>
      </w:r>
      <w:hyperlink r:id="rId10">
        <w:r>
          <w:rPr>
            <w:color w:val="0000FF"/>
          </w:rPr>
          <w:t>перечень</w:t>
        </w:r>
      </w:hyperlink>
      <w:r>
        <w:t xml:space="preserve">, утвержденный распоряжением Правительства Российской Федерации от 23 декабря 2016 г. N 2800-р (далее - научные </w:t>
      </w:r>
      <w:r>
        <w:lastRenderedPageBreak/>
        <w:t>организации), обязательных требований особого режима учета, хранения и использования уникальных документов, находящихся у них на постоянном хранении и включенных в Государственный реестр уникальных документов Архивного фонда Российской Федерации (далее - обязательные требования).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r>
        <w:t>3. Контроль осуществляется Федеральным архивным агентством.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4. Должностными лицами Федерального архивного агентства, уполномоченными на осуществление контроля, являются руководитель, заместитель руководителя, начальники управлений, заместители начальников управлений, федеральные государственные служащие ведущей и старшей группы должностей категории "специалисты", в должностные обязанности которых в соответствии с должностными регламентами входит осуществление контроля.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5. Должностными лицами Федерального архивного агентства, уполномоченными на принятие решений о проведении контрольных (надзорных) мероприятий, являются руководитель Агентства, заместитель руководителя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1" w:name="P42"/>
      <w:bookmarkEnd w:id="1"/>
      <w:r>
        <w:t>6. Контролируемыми лицами являются архивы, музеи, библиотеки, научные организации, имеющие на постоянном хранении уникальные документы, включенные в Государственный реестр уникальных документов Архивного фонда Российской Федерации (далее - контролируемые лица).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Объектами контроля являются: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деятельность контролируемых лиц по соблюдению особого режима учета, хранения и использования уникальных документов, включенных в Государственный реестр уникальных документов Архивного фонда Российской Федерации, осуществляющих постоянное хранение документов Архивного фонда Российской Федерации;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уникальные документы, включенные в Государственный реестр уникальных документов Архивного фонда Российской Федерации, находящиеся на постоянном хранении у контролируемых лиц.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Федеральным архивным агентством ведется учет объектов контроля с </w:t>
      </w:r>
      <w:proofErr w:type="gramStart"/>
      <w:r>
        <w:t>использованием</w:t>
      </w:r>
      <w:proofErr w:type="gramEnd"/>
      <w:r>
        <w:t xml:space="preserve"> создаваемой в соответствии с </w:t>
      </w:r>
      <w:hyperlink r:id="rId11">
        <w:r>
          <w:rPr>
            <w:color w:val="0000FF"/>
          </w:rPr>
          <w:t>частью 5 статьи 17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Федеральный закон) информационной системы Федерального архивного агентства.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  <w:outlineLvl w:val="1"/>
      </w:pPr>
      <w:r>
        <w:t xml:space="preserve">II. Управление рисками причинения вреда (ущерба) </w:t>
      </w:r>
      <w:proofErr w:type="gramStart"/>
      <w:r>
        <w:t>охраняемым</w:t>
      </w:r>
      <w:proofErr w:type="gramEnd"/>
    </w:p>
    <w:p w:rsidR="009452E4" w:rsidRDefault="009452E4">
      <w:pPr>
        <w:pStyle w:val="ConsPlusTitle"/>
        <w:jc w:val="center"/>
      </w:pPr>
      <w:r>
        <w:t>законом ценностям при осуществлении контроля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>7. При осуществлении контроля применяется система оценки и управления рисками.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 зависимости от возможной тяжести причинения вреда (ущерба) охраняемым законом ценностям Федеральное архивное агентство при осуществлении контроля относит объекты контроля к одной из следующих категорий риска причинения вреда (ущерба) охраняемым законом ценностям (далее - категории риска):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средний риск;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умеренный риск;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низкий риск.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8. Деятельность по соблюдению обязательных требований музеями, библиотеками и научными организациями относится к низкой категории риска.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lastRenderedPageBreak/>
        <w:t xml:space="preserve">9. Деятельность по соблюдению обязательных требований архивами, за исключением указанных в </w:t>
      </w:r>
      <w:hyperlink w:anchor="P58">
        <w:r>
          <w:rPr>
            <w:color w:val="0000FF"/>
          </w:rPr>
          <w:t>пункте 10</w:t>
        </w:r>
      </w:hyperlink>
      <w:r>
        <w:t xml:space="preserve"> настоящего Положения, относится к умеренной категории риска.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10. Деятельность по соблюдению федеральными государственными архивами обязательных требований относится к средней категории риска.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11. Отнесение объектов контроля к одной из категорий риска, а также изменение категории риска, к которой ранее был отнесен объект контроля, осуществляется по решению руководителя (заместителя руководителя)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12. Контролируемые лица вправе подать в Федеральное архивное агентство заявление об изменении категории риска.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  <w:outlineLvl w:val="1"/>
      </w:pPr>
      <w:r>
        <w:t>III. Профилактика рисков причинения вреда (ущерба)</w:t>
      </w:r>
    </w:p>
    <w:p w:rsidR="009452E4" w:rsidRDefault="009452E4">
      <w:pPr>
        <w:pStyle w:val="ConsPlusTitle"/>
        <w:jc w:val="center"/>
      </w:pPr>
      <w:r>
        <w:t>охраняемым законом ценностям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>13. При осуществлении контроля могут проводиться следующие виды профилактических мероприятий: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14. Федеральное архивное агентство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Федерального архивного агентства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информационной системе, предусмотренной </w:t>
      </w:r>
      <w:hyperlink w:anchor="P42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По итогам обобщения правоприменительной практики Федеральное архивное агентство готовит ежегодно, до 1 марта года, следующего за отчетным, доклад о правоприменительной практике.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r>
        <w:t>16. Доклад о правоприменительной практике утверждается руководителем Федерального архивного агентства и размещается на официальном сайте Федерального архивного агентства в сети "Интернет" в течение 3 рабочих дней со дня утверждения.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17. </w:t>
      </w:r>
      <w:proofErr w:type="gramStart"/>
      <w:r>
        <w:t>Предостережение о недопустимости нарушения обязательных требований (далее - предостережение) объявляется и направляется контролируемым лицам при наличии у Федерального архивного агентства сведений о готовящихся нарушениях обязательных требований или признаках нарушений обязательных требований, а также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r>
        <w:t>18. Решение об объявлении предостережения принимается руководителем (заместителем руководителя)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19. В предостережении указываются: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lastRenderedPageBreak/>
        <w:t>наименование контролируемого лица, адрес его места нахождения;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соответствующие обязательные требования и предусматривающий их нормативный правовой акт;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информация о том, какие действия (бездействие) контролируемого лица могут привести или приводят к нарушению обязательных требований;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предложения о принятии мер по обеспечению соблюдения обязательных требований.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Предостережение направляется контролируемому лицу в бумажном виде почтовым отправлением по адресу места нахождения, либо в виде электронного документа на адрес его электронной почты в течение 10 календарных дней с момента получения Федеральным архивным агентством сведений, указанных в </w:t>
      </w:r>
      <w:hyperlink w:anchor="P74">
        <w:r>
          <w:rPr>
            <w:color w:val="0000FF"/>
          </w:rPr>
          <w:t>пункте 17</w:t>
        </w:r>
      </w:hyperlink>
      <w:r>
        <w:t xml:space="preserve"> настоящего Положения.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20. Контролируемое лицо вправе после получения предостережения подать в Федеральное архивное агентство возражение в отношении указанного предостережения не позднее 30 календарных дней со дня получения им предостережения (далее - возражение). Возражение направляется контролируемым лицом в бумажном виде почтовым отправлением в Федеральное архивное агентство, либо в виде электронного документа на указанный в предостережении адрес электронной почты Федерального архивного агентства, либо иными указанными в предостережении способами.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 возражении контролируемым лицом указываются: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наименование контролируемого лица;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дата и номер предостережения, направленного в адрес контролируемого лица;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Контролируемое лицо вправе приложить к таким возражениям документы, подтверждающие обоснованность возражения.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21. В случае получения от контролируемого лица возражения в </w:t>
      </w:r>
      <w:proofErr w:type="gramStart"/>
      <w:r>
        <w:t>отношении</w:t>
      </w:r>
      <w:proofErr w:type="gramEnd"/>
      <w:r>
        <w:t xml:space="preserve"> объявленного ему предостережения Федеральное архивное агентство в течение 20 календарных дней рассматривает обоснованность возражения и по результатам рассмотрения принимает одно из следующих решений: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4" w:name="P89"/>
      <w:bookmarkEnd w:id="4"/>
      <w:r>
        <w:t>удовлетворить возражение в форме отмены объявленного предостережения;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5" w:name="P90"/>
      <w:bookmarkEnd w:id="5"/>
      <w:r>
        <w:t>отказать в удовлетворении возражения.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Не позднее 3 рабочих дней, следующих за днем принятия решения, указанного в </w:t>
      </w:r>
      <w:hyperlink w:anchor="P89">
        <w:r>
          <w:rPr>
            <w:color w:val="0000FF"/>
          </w:rPr>
          <w:t>абзаце втором</w:t>
        </w:r>
      </w:hyperlink>
      <w:r>
        <w:t xml:space="preserve"> или </w:t>
      </w:r>
      <w:hyperlink w:anchor="P90">
        <w:r>
          <w:rPr>
            <w:color w:val="0000FF"/>
          </w:rPr>
          <w:t>третьем</w:t>
        </w:r>
      </w:hyperlink>
      <w:r>
        <w:t xml:space="preserve"> настоящего пункта, контролируемому лицу, подавшему возражение, на указанный им адрес направляется в бумажном виде почтовым отправлением либо в виде электронного документа мотивированный ответ о результатах рассмотрения возражения.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22. Федеральное архивное агентство осуществляет учет объявленных им предостережений о недопустимости нарушения обязательных требований и использует соответствующие сведения для проведения иных профилактических мероприятий и контрольных (надзорных) мероприятий.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23. Должностные лица Федерального архивного агентства по обращениям контролируемых лиц (их представителей) осуществляют консультирование.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lastRenderedPageBreak/>
        <w:t>24. Должностные лица Федерального архивного агентства осуществляют консультирование по следующим вопросам: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а) организация и осуществление контроля;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предмет контроля;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в) критерии отнесения объектов контроля к категории риска;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г) состав и порядок осуществления профилактических мероприятий;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д) порядок обжалования решений Федерального архивного агентства, действий (бездействия) его должностных лиц;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е) порядок подачи возражений на предостережение о недопустимости нарушений обязательных требований.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25. Консультирование может осуществляться должностным лицом Федерального архивного агентства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26.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27. В случае поступления 5 и более однотипных обращений контролируемых лиц консультирование осуществляется посредством размещения на официальном сайте Федерального архивного агентства в сети "Интернет" письменного разъяснения, подписанного руководителем (заместителем руководителя)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Федеральное архивное агентство осуществляет учет проведенных консультаций.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28. Профилактический визит проводится должностным лицом Федерального архивного агентства в форме профилактической беседы по месту осуществления деятельности контролируемого лица либо с использованием видео-конференц-связи не чаще одного раза в 3 года.</w:t>
      </w:r>
    </w:p>
    <w:p w:rsidR="009452E4" w:rsidRDefault="009452E4">
      <w:pPr>
        <w:pStyle w:val="ConsPlusNormal"/>
        <w:spacing w:before="220"/>
        <w:ind w:firstLine="540"/>
        <w:jc w:val="both"/>
      </w:pPr>
      <w:proofErr w:type="gramStart"/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Обязательные профилактические визиты должны проводиться в отношении контролируемых лиц, чьи уникальные документы впервые включены в Государственный реестр уникальных документов Архивного фонда Российской Федерации, не позднее чем в течение одного года с момента такого включения. Информация о проведении обязательного профилактического визита доводится Федеральным архивным агентством до указанных лиц в порядке, установленном Федеральным </w:t>
      </w:r>
      <w:hyperlink r:id="rId12">
        <w:r>
          <w:rPr>
            <w:color w:val="0000FF"/>
          </w:rPr>
          <w:t>законом</w:t>
        </w:r>
      </w:hyperlink>
      <w:r>
        <w:t>, а также путем размещения на официальном сайте Федерального архивного агентства в сети "Интернет" информации о возможности проведения таких профилактических визитов.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29. В ходе профилактического визита должностным лицом может осуществляться сбор </w:t>
      </w:r>
      <w:r>
        <w:lastRenderedPageBreak/>
        <w:t>сведений, необходимых для отнесения объектов контроля к категориям риска.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30. Срок проведения профилактического визита в одном месте осуществления деятельности контролируемым лицом либо на одном объекте (территории) не может превышать один рабочий день.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31. О проведении профилактического визита контролируемое лицо должно быть уведомлено не </w:t>
      </w:r>
      <w:proofErr w:type="gramStart"/>
      <w:r>
        <w:t>позднее</w:t>
      </w:r>
      <w:proofErr w:type="gramEnd"/>
      <w:r>
        <w:t xml:space="preserve"> чем за 5 рабочих дней до дня его проведения.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  <w:outlineLvl w:val="1"/>
      </w:pPr>
      <w:r>
        <w:t>IV. Осуществление государственного контроля (надзора)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>32. Контроль осуществляется без проведения плановых контрольных (надзорных) мероприятий.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33. Контроль осуществляется посредством проведения следующих контрольных (надзорных) мероприятий: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а) документарная проверка;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выездная проверка.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34. Основанием для проведения контрольного (надзорного) мероприятия может быть:</w:t>
      </w:r>
    </w:p>
    <w:p w:rsidR="009452E4" w:rsidRDefault="009452E4">
      <w:pPr>
        <w:pStyle w:val="ConsPlusNormal"/>
        <w:spacing w:before="220"/>
        <w:ind w:firstLine="540"/>
        <w:jc w:val="both"/>
      </w:pPr>
      <w:proofErr w:type="gramStart"/>
      <w:r>
        <w:t>а) наличие у Федерального архивного агентства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 индикаторов риска нарушения обязательных требований, утверждаемых Федеральным архивным агентством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или</w:t>
      </w:r>
      <w:proofErr w:type="gramEnd"/>
      <w:r>
        <w:t xml:space="preserve"> отклонения объекта контроля от таких параметров;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в) истечение срока исполнения решения Федерального архивного агентства об устранении выявленного нарушения обязательных требований - в случаях, установленных </w:t>
      </w:r>
      <w:hyperlink r:id="rId13">
        <w:r>
          <w:rPr>
            <w:color w:val="0000FF"/>
          </w:rPr>
          <w:t>частью 1 статьи 95</w:t>
        </w:r>
      </w:hyperlink>
      <w:r>
        <w:t xml:space="preserve"> Федерального закона;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г)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35. Решение о проведении контрольных (надзорных) мероприятий принимает руководитель (заместитель руководителя)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36. Информация о контрольном (надзорном) мероприятии в рамках контроля размещается в едином реестре контрольных (надзорных) мероприятий.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37. Документарная проверка проводится по месту нахождения Федерального архивного агентства и не требует согласования с органами прокуратуры.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Предметом документарной проверки являются сведения об организационно-правовой форме, правах и обязанностях, содержащиеся в документах контролируемых лиц, а также документы, используемые при осуществлении их деятельности и связанные с исполнением ими обязательных требований и решений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lastRenderedPageBreak/>
        <w:t>38. О проведении документарной проверки контролируемое лицо уведомляется путем направления ему копии приказа о проведении документарной проверки.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39. В ходе документарной проверки могут совершаться следующие контрольные (надзорные) действия: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истребование документов.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40. Срок проведения документарной проверки не может превышать 10 рабочих дней.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41. В ходе выездной проверки могут совершаться следующие контрольные (надзорные) действия, проводимые в порядке, установленном Федеральным </w:t>
      </w:r>
      <w:hyperlink r:id="rId14">
        <w:r>
          <w:rPr>
            <w:color w:val="0000FF"/>
          </w:rPr>
          <w:t>законом</w:t>
        </w:r>
      </w:hyperlink>
      <w:r>
        <w:t>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осмотр;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опрос;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истребование документов и (или) их копий, имеющих значение для проведения оценки соблюдения контролируемым лицом обязательных требований.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Истребованные документы представляются в Федеральное архивное агентство в форме электронного документа с учетом положений </w:t>
      </w:r>
      <w:hyperlink r:id="rId15">
        <w:r>
          <w:rPr>
            <w:color w:val="0000FF"/>
          </w:rPr>
          <w:t>части 6 статьи 21</w:t>
        </w:r>
      </w:hyperlink>
      <w:r>
        <w:t xml:space="preserve"> Федерального закона, заказным почтовым отправлением либо могут быть представлены контролируемым лицом лично в срок, установленный в требовании о представлении документов.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42. Срок проведения выездной проверки устанавливается в пределах 5 рабочих дней.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  <w:outlineLvl w:val="1"/>
      </w:pPr>
      <w:r>
        <w:t>V. Результаты контрольного (надзорного) мероприятия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>43. По результатам проведения контрольного (надзорного) мероприятия составляется акт контрольного (надзорного) мероприятия (далее - акт), оформляемый на месте проведения контрольного (надзорного) мероприятия в день его окончания, если иной порядок оформления акта не установлен Правительством Российской Федерации.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44.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установлено, а также отмечается факт устранения такого нарушения в случае, если таковое было осуществлено до окончания проведения контрольного (надзорного) мероприятия.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К акту приобщаются документы, иные материалы, являющиеся доказательствами нарушения обязательных требований, и заполненные при проведении контрольного (надзорного) мероприятия </w:t>
      </w:r>
      <w:hyperlink r:id="rId16">
        <w:r>
          <w:rPr>
            <w:color w:val="0000FF"/>
          </w:rPr>
          <w:t>проверочные листы</w:t>
        </w:r>
      </w:hyperlink>
      <w:r>
        <w:t>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45. Контролируемое лицо или его уполномоченный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r:id="rId17">
        <w:r>
          <w:rPr>
            <w:color w:val="0000FF"/>
          </w:rPr>
          <w:t>частью 2 статьи 88</w:t>
        </w:r>
      </w:hyperlink>
      <w:r>
        <w:t xml:space="preserve"> Федерального закона.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В случае проведения документарной проверки акт направляется контролируемому лицу в порядке, установленном </w:t>
      </w:r>
      <w:hyperlink r:id="rId18">
        <w:r>
          <w:rPr>
            <w:color w:val="0000FF"/>
          </w:rPr>
          <w:t>статьей 21</w:t>
        </w:r>
      </w:hyperlink>
      <w:r>
        <w:t xml:space="preserve"> Федерального закона.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Контролируемое лицо подписывает акт тем же способом, которым изготовлен данный акт. В случае отказа или невозможности подписания акта контролируемым лицом или его </w:t>
      </w:r>
      <w:r>
        <w:lastRenderedPageBreak/>
        <w:t>уполномоченным представителем в акте делается соответствующая отметка.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46. В случае выявления при проведении контрольного (надзорного) мероприятия нарушения контролируемым лицом обязательных требований Федеральное архивное агентство осуществляет мероприятия, предусмотренные </w:t>
      </w:r>
      <w:hyperlink r:id="rId19">
        <w:r>
          <w:rPr>
            <w:color w:val="0000FF"/>
          </w:rPr>
          <w:t>частью 2 статьи 90</w:t>
        </w:r>
      </w:hyperlink>
      <w:r>
        <w:t xml:space="preserve"> Федерального закона.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47. Выдаваемое контролируемому лицу по результатам проведения контрольного (надзорного) мероприятия предписание должно содержать: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а) порядковый номер предписания;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дату и место составления и выдачи предписания;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в) дату и номер приказа Федерального архивного агентства, на основании которого проводилось контрольное (надзорное) мероприятие;</w:t>
      </w:r>
    </w:p>
    <w:p w:rsidR="009452E4" w:rsidRDefault="009452E4">
      <w:pPr>
        <w:pStyle w:val="ConsPlusNormal"/>
        <w:spacing w:before="220"/>
        <w:ind w:firstLine="540"/>
        <w:jc w:val="both"/>
      </w:pPr>
      <w:proofErr w:type="gramStart"/>
      <w:r>
        <w:t>г) фамилию, имя, отчество (при наличии) и должность лица (лиц), проводившего контрольное (надзорное) мероприятие;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r>
        <w:t>д) сведения о контролируемом лице;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е) дату, время и место проведения контрольного (надзорного) мероприятия;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ж) сведения о результатах контрольного (надзорного) мероприятия;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з) сведения о выявленных нарушениях обязательных требований;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и) ссылку на структурные единицы нормативных правовых актов, устанавливающих обязательные требования, которые были нарушены;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к) описание действий контролируемого лица, необходимых для устранения нарушений обязательных требований;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л) срок исполнения предписания, который не может превышать 6 месяцев со дня выдачи предписания;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м) срок, в течение которого контролируемое лицо, которому выдано предписание, должно известить Федеральное архивное агентство об исполнении предписания, и перечень представляемых сведений в качестве подтверждения исполнения требований предписания;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н) сведения об ознакомлении или отказе в ознакомлении с предписанием контролируемого лица или его уполномоченного представителя;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о) подпись должностного лица (лиц), проводившего контрольное (надзорное) мероприятие.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>В случае если выданное предписание об устранении нарушений обязательных требований исполнено контролируемым лицом надлежащим образом, Федеральное архивное агентство вправе не направлять информацию о выявлении в ходе контрольного (надзорного) мероприятия признаков преступления или административного правонарушения в государственный орган в соответствии со своей компетенцией или не привлекать виновных лиц к установленной законом ответственности.</w:t>
      </w:r>
      <w:proofErr w:type="gramEnd"/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Title"/>
        <w:jc w:val="center"/>
        <w:outlineLvl w:val="1"/>
      </w:pPr>
      <w:r>
        <w:t>VI. Обжалование решений Федерального архивного агентства,</w:t>
      </w:r>
    </w:p>
    <w:p w:rsidR="009452E4" w:rsidRDefault="009452E4">
      <w:pPr>
        <w:pStyle w:val="ConsPlusTitle"/>
        <w:jc w:val="center"/>
      </w:pPr>
      <w:r>
        <w:t>действий (бездействия) его должностных лиц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 xml:space="preserve">49. Правом на обжалование решений Федерального архивного агентства, действий (бездействия) его должностных лиц обладает контролируемое лицо, в отношении которого </w:t>
      </w:r>
      <w:r>
        <w:lastRenderedPageBreak/>
        <w:t>приняты решения или совершены действия (бездействие).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50. Судебное обжалование решений, действий (бездействия) должностных лиц Федерального архивного </w:t>
      </w:r>
      <w:proofErr w:type="gramStart"/>
      <w:r>
        <w:t>агентства</w:t>
      </w:r>
      <w:proofErr w:type="gramEnd"/>
      <w:r>
        <w:t xml:space="preserve"> возможно только после их досудебного обжалования.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Досудебное обжалование решений Федерального архивного агентства, действий (бездействия) его должностных лиц осуществляется в соответствии с </w:t>
      </w:r>
      <w:hyperlink w:anchor="P173">
        <w:r>
          <w:rPr>
            <w:color w:val="0000FF"/>
          </w:rPr>
          <w:t>пунктами 51</w:t>
        </w:r>
      </w:hyperlink>
      <w:r>
        <w:t xml:space="preserve"> - </w:t>
      </w:r>
      <w:hyperlink w:anchor="P206">
        <w:r>
          <w:rPr>
            <w:color w:val="0000FF"/>
          </w:rPr>
          <w:t>60</w:t>
        </w:r>
      </w:hyperlink>
      <w:r>
        <w:t xml:space="preserve"> настоящего Положения.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6" w:name="P173"/>
      <w:bookmarkEnd w:id="6"/>
      <w:r>
        <w:t>51. Жалоба на решения Федерального архивного агентства, действия (бездействие) его должностных лиц подается контролируемым лицом в Федеральное архивное агентство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При подаче контролируемым лицом жалобы она должна быть подписана усиленной квалифицированной электронной подписью.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должностных лиц Федерального архивного агентства рассматривается руководителем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Жалоба на решения, действия (бездействие) заместителей руководителя Федерального архивного агентства рассматривается руководителем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52. 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 действий (бездействия) должностных лиц Федерального архивного агентства в рамках контрольных (надзорных) мероприятий.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53. Жалоба на решение, действия (бездействие) должностных лиц Федерального архивного агентства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54. Жалоба на предписание Федерального архивного агентства может быть подана в течение 10 рабочих дней с момента получения контролируемым лицом предписания.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Федеральным архивным агентством.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Жалоба может содержать ходатайство о приостановлении исполнения обжалуемого решения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55. Федеральное архивное агентство в срок не позднее 2 рабочих дней со дня регистрации жалобы принимает решение: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 приостановлении исполнения обжалуемого решения Федерального архивного агентства;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об отказе в приостановлении исполнения обжалуемого решения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56. Жалоба должна содержать:</w:t>
      </w:r>
    </w:p>
    <w:p w:rsidR="009452E4" w:rsidRDefault="009452E4">
      <w:pPr>
        <w:pStyle w:val="ConsPlusNormal"/>
        <w:spacing w:before="220"/>
        <w:ind w:firstLine="540"/>
        <w:jc w:val="both"/>
      </w:pPr>
      <w:proofErr w:type="gramStart"/>
      <w:r>
        <w:t>а) наименование Федерального архивного агентства;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proofErr w:type="gramStart"/>
      <w:r>
        <w:lastRenderedPageBreak/>
        <w:t>б) фамилию, имя, отчество (при наличии) должностного лица, решение и (или) действия (бездействие) которого обжалуются;</w:t>
      </w:r>
      <w:proofErr w:type="gramEnd"/>
    </w:p>
    <w:p w:rsidR="009452E4" w:rsidRDefault="009452E4">
      <w:pPr>
        <w:pStyle w:val="ConsPlusNormal"/>
        <w:spacing w:before="220"/>
        <w:ind w:firstLine="540"/>
        <w:jc w:val="both"/>
      </w:pPr>
      <w:r>
        <w:t>в) наименование организации - заявителя, сведения о месте нахождения этой организации,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г) сведения об обжалуемых решениях и (или) действиях (бездействии) должностного лица Федерального архивного агентства, которые привели или могут привести к нарушению прав контролируемого лица, подавшего жалобу;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д) основания и доводы, на основании которых заявитель не согласен с решением и (или) действиями (бездействием) должностного лица Федерального архивного агентства. Лицом, подающим жалобу, могут быть представлены документы (при наличии), подтверждающие его доводы, либо их копии;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е) требования лица, подавшего жалобу;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ж)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57. Федеральное архивное агентство принимает решение об отказе в рассмотрении жалобы в течение 5 рабочих дней с момента получения жалобы, если: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а) жалоба подана после истечения сроков подачи жалобы, установленных </w:t>
      </w:r>
      <w:hyperlink w:anchor="P177">
        <w:r>
          <w:rPr>
            <w:color w:val="0000FF"/>
          </w:rPr>
          <w:t>пунктами 53</w:t>
        </w:r>
      </w:hyperlink>
      <w:r>
        <w:t xml:space="preserve"> и </w:t>
      </w:r>
      <w:hyperlink w:anchor="P178">
        <w:r>
          <w:rPr>
            <w:color w:val="0000FF"/>
          </w:rPr>
          <w:t>54</w:t>
        </w:r>
      </w:hyperlink>
      <w:r>
        <w:t xml:space="preserve"> настоящего Положения, и не содержит ходатайства о восстановлении пропущенного срока на подачу жалобы;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б) в удовлетворении ходатайства о восстановлении пропущенного срока на подачу жалобы отказано;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в) до принятия решения по жалобе от контролируемого лица, ее подавшего, поступило заявление об отзыве жалобы;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г) имеется решение суда по вопросам, поставленным в жалобе;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д) ранее в Федеральное архивное агентство была подана другая жалоба от того же контролируемого лица по тем же основаниям;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е) жалоба содержит нецензурные либо оскорбительные выражения, угрозы жизни, здоровью и имуществу должностных лиц Федерального архивного агентства либо членов их семей;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ж)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з) вопросы, содержащиеся в жалобе, не относятся к компетенции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58. Жалоба подлежит рассмотрению Федеральным архивным агентством в течение 20 рабочих дней со дня ее регистрации.</w:t>
      </w:r>
    </w:p>
    <w:p w:rsidR="009452E4" w:rsidRDefault="009452E4">
      <w:pPr>
        <w:pStyle w:val="ConsPlusNormal"/>
        <w:spacing w:before="220"/>
        <w:ind w:firstLine="540"/>
        <w:jc w:val="both"/>
      </w:pPr>
      <w:proofErr w:type="gramStart"/>
      <w:r>
        <w:t>Федеральное</w:t>
      </w:r>
      <w:proofErr w:type="gramEnd"/>
      <w:r>
        <w:t xml:space="preserve"> архивное агентств вправе запросить у контролируемого лица, подавшего жалобу, дополнительную информацию и документы, относящиеся к предмету жалобы. </w:t>
      </w:r>
      <w:r>
        <w:lastRenderedPageBreak/>
        <w:t>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Федеральным архивным агентством,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59. Не допускается запрашивать у контролируемого лица, подавшего жалобу, документы и информацию, которые находятся в распоряжении Федерального архивного агентства.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9" w:name="P206"/>
      <w:bookmarkEnd w:id="9"/>
      <w:r>
        <w:t>60. По итогам рассмотрения жалобы Федеральное архивное агентство: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оставляет жалобу без удовлетворения;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отменяет решение полностью или частично;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отменяет решение полностью и принимает новое решение;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признает действия (бездействие) должностных лиц Федерального архивного агентства незаконными и выносит решение по существу, в том числе об осуществлении при необходимости определенных действий.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Решение Федерального архивного агентства,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9452E4" w:rsidRDefault="009452E4">
      <w:pPr>
        <w:pStyle w:val="ConsPlusNormal"/>
        <w:ind w:firstLine="540"/>
        <w:jc w:val="both"/>
      </w:pPr>
    </w:p>
    <w:p w:rsidR="009452E4" w:rsidRDefault="009452E4">
      <w:pPr>
        <w:pStyle w:val="ConsPlusTitle"/>
        <w:jc w:val="center"/>
        <w:outlineLvl w:val="1"/>
      </w:pPr>
      <w:r>
        <w:t>VII. Ключевые показатели контроля и их целевые значения</w:t>
      </w:r>
    </w:p>
    <w:p w:rsidR="009452E4" w:rsidRDefault="009452E4">
      <w:pPr>
        <w:pStyle w:val="ConsPlusNormal"/>
        <w:jc w:val="center"/>
      </w:pPr>
    </w:p>
    <w:p w:rsidR="009452E4" w:rsidRDefault="009452E4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26.11.2021 N 2061)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ind w:firstLine="540"/>
        <w:jc w:val="both"/>
      </w:pPr>
      <w:r>
        <w:t>61. Ключевыми показателями контроля являются: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а) доля уникальных документов, утраченных вследствие нарушения законодательства об архивном деле;</w:t>
      </w:r>
    </w:p>
    <w:p w:rsidR="009452E4" w:rsidRDefault="009452E4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>б) доля уникальных документов, которым причинен вред (ущерб) вследствие нарушения законодательства об архивном деле.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62. Ключевой показатель, предусмотренный </w:t>
      </w:r>
      <w:hyperlink w:anchor="P218">
        <w:r>
          <w:rPr>
            <w:color w:val="0000FF"/>
          </w:rPr>
          <w:t>подпунктом "а" пункта 61</w:t>
        </w:r>
      </w:hyperlink>
      <w:r>
        <w:t xml:space="preserve"> настоящего Положения, рассчитывается как соотношение количества уникальных документов, утраченных вследствие нарушения законодательства об архивном деле за отчетный год, к общему количеству уникальных документов на конец отчетного года.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Целевым значением ключевого показателя признается значение, равное 0,001 и менее.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 xml:space="preserve">63. Ключевой показатель, предусмотренный </w:t>
      </w:r>
      <w:hyperlink w:anchor="P219">
        <w:r>
          <w:rPr>
            <w:color w:val="0000FF"/>
          </w:rPr>
          <w:t>подпунктом "б" пункта 61</w:t>
        </w:r>
      </w:hyperlink>
      <w:r>
        <w:t xml:space="preserve"> настоящего Положения, рассчитывается как соотношение количества уникальных документов, которым причинен вред (ущерб) вследствие нарушения законодательства об архивном деле за отчетный год, к общему количеству уникальных документов на конец отчетного года.</w:t>
      </w:r>
    </w:p>
    <w:p w:rsidR="009452E4" w:rsidRDefault="009452E4">
      <w:pPr>
        <w:pStyle w:val="ConsPlusNormal"/>
        <w:spacing w:before="220"/>
        <w:ind w:firstLine="540"/>
        <w:jc w:val="both"/>
      </w:pPr>
      <w:r>
        <w:t>Целевым значением ключевого показателя признается значение, равное 0,005 и менее.</w:t>
      </w: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jc w:val="both"/>
      </w:pPr>
    </w:p>
    <w:p w:rsidR="009452E4" w:rsidRDefault="009452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02C" w:rsidRDefault="0087402C">
      <w:bookmarkStart w:id="12" w:name="_GoBack"/>
      <w:bookmarkEnd w:id="12"/>
    </w:p>
    <w:sectPr w:rsidR="0087402C" w:rsidSect="00E3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E4"/>
    <w:rsid w:val="0087402C"/>
    <w:rsid w:val="009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2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2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085" TargetMode="External"/><Relationship Id="rId13" Type="http://schemas.openxmlformats.org/officeDocument/2006/relationships/hyperlink" Target="https://login.consultant.ru/link/?req=doc&amp;base=LAW&amp;n=495001&amp;dst=101267" TargetMode="External"/><Relationship Id="rId18" Type="http://schemas.openxmlformats.org/officeDocument/2006/relationships/hyperlink" Target="https://login.consultant.ru/link/?req=doc&amp;base=LAW&amp;n=495001&amp;dst=10022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3187&amp;dst=56" TargetMode="External"/><Relationship Id="rId12" Type="http://schemas.openxmlformats.org/officeDocument/2006/relationships/hyperlink" Target="https://login.consultant.ru/link/?req=doc&amp;base=LAW&amp;n=495001&amp;dst=100577" TargetMode="External"/><Relationship Id="rId17" Type="http://schemas.openxmlformats.org/officeDocument/2006/relationships/hyperlink" Target="https://login.consultant.ru/link/?req=doc&amp;base=LAW&amp;n=495001&amp;dst=1012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3915&amp;dst=100009" TargetMode="External"/><Relationship Id="rId20" Type="http://schemas.openxmlformats.org/officeDocument/2006/relationships/hyperlink" Target="https://login.consultant.ru/link/?req=doc&amp;base=LAW&amp;n=40175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754&amp;dst=100011" TargetMode="External"/><Relationship Id="rId11" Type="http://schemas.openxmlformats.org/officeDocument/2006/relationships/hyperlink" Target="https://login.consultant.ru/link/?req=doc&amp;base=LAW&amp;n=495001&amp;dst=10018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5001&amp;dst=101131" TargetMode="External"/><Relationship Id="rId10" Type="http://schemas.openxmlformats.org/officeDocument/2006/relationships/hyperlink" Target="https://login.consultant.ru/link/?req=doc&amp;base=LAW&amp;n=469218&amp;dst=100006" TargetMode="External"/><Relationship Id="rId19" Type="http://schemas.openxmlformats.org/officeDocument/2006/relationships/hyperlink" Target="https://login.consultant.ru/link/?req=doc&amp;base=LAW&amp;n=495001&amp;dst=100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754&amp;dst=100011" TargetMode="External"/><Relationship Id="rId14" Type="http://schemas.openxmlformats.org/officeDocument/2006/relationships/hyperlink" Target="https://login.consultant.ru/link/?req=doc&amp;base=LAW&amp;n=495001&amp;dst=1008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Барханова</dc:creator>
  <cp:lastModifiedBy>Светлана Андреевна Барханова</cp:lastModifiedBy>
  <cp:revision>1</cp:revision>
  <dcterms:created xsi:type="dcterms:W3CDTF">2025-02-12T08:27:00Z</dcterms:created>
  <dcterms:modified xsi:type="dcterms:W3CDTF">2025-02-12T08:28:00Z</dcterms:modified>
</cp:coreProperties>
</file>